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7B96" w14:textId="77777777" w:rsidR="00427F3A" w:rsidRDefault="00427F3A" w:rsidP="00E476EB">
      <w:pPr>
        <w:spacing w:after="0"/>
        <w:rPr>
          <w:b/>
          <w:bCs/>
        </w:rPr>
      </w:pPr>
    </w:p>
    <w:p w14:paraId="09FBEC48" w14:textId="08F515B1" w:rsidR="00E476EB" w:rsidRDefault="00E476EB" w:rsidP="00E476EB">
      <w:pPr>
        <w:spacing w:after="0"/>
        <w:rPr>
          <w:b/>
          <w:bCs/>
        </w:rPr>
      </w:pPr>
      <w:r w:rsidRPr="00E476EB">
        <w:rPr>
          <w:b/>
          <w:bCs/>
        </w:rPr>
        <w:t>Terms of Reference</w:t>
      </w:r>
    </w:p>
    <w:p w14:paraId="718FCDAF" w14:textId="77777777" w:rsidR="00427F3A" w:rsidRPr="00E476EB" w:rsidRDefault="00427F3A" w:rsidP="00E476EB">
      <w:pPr>
        <w:spacing w:after="0"/>
        <w:rPr>
          <w:b/>
          <w:bCs/>
        </w:rPr>
      </w:pPr>
    </w:p>
    <w:p w14:paraId="5882DF2B" w14:textId="5948C9F2" w:rsidR="00E476EB" w:rsidRDefault="00E476EB" w:rsidP="00E476EB">
      <w:pPr>
        <w:spacing w:after="0"/>
        <w:rPr>
          <w:b/>
          <w:bCs/>
        </w:rPr>
      </w:pPr>
      <w:r w:rsidRPr="00E476EB">
        <w:rPr>
          <w:b/>
          <w:bCs/>
        </w:rPr>
        <w:t>Position:</w:t>
      </w:r>
      <w:r>
        <w:rPr>
          <w:b/>
          <w:bCs/>
        </w:rPr>
        <w:t xml:space="preserve"> </w:t>
      </w:r>
      <w:r w:rsidRPr="00E476EB">
        <w:rPr>
          <w:b/>
          <w:bCs/>
        </w:rPr>
        <w:t>e-Governance Coordinator</w:t>
      </w:r>
    </w:p>
    <w:p w14:paraId="103E63C5" w14:textId="77777777" w:rsidR="00427F3A" w:rsidRPr="00E476EB" w:rsidRDefault="00427F3A" w:rsidP="00E476EB">
      <w:pPr>
        <w:spacing w:after="0"/>
      </w:pPr>
    </w:p>
    <w:p w14:paraId="4D05B245" w14:textId="31E3CE93" w:rsidR="00E476EB" w:rsidRPr="00E476EB" w:rsidRDefault="00E476EB" w:rsidP="00E476EB">
      <w:pPr>
        <w:spacing w:after="0"/>
      </w:pPr>
      <w:r w:rsidRPr="00E476EB">
        <w:rPr>
          <w:b/>
          <w:bCs/>
        </w:rPr>
        <w:t>Position Type:</w:t>
      </w:r>
      <w:r>
        <w:rPr>
          <w:b/>
          <w:bCs/>
        </w:rPr>
        <w:t xml:space="preserve"> </w:t>
      </w:r>
      <w:r w:rsidRPr="00E476EB">
        <w:t xml:space="preserve">Long-Term Consultancy Contract </w:t>
      </w:r>
    </w:p>
    <w:p w14:paraId="0400C009" w14:textId="0D00346C" w:rsidR="00E476EB" w:rsidRPr="00E476EB" w:rsidRDefault="00E476EB" w:rsidP="00E476EB">
      <w:pPr>
        <w:spacing w:after="0"/>
      </w:pPr>
      <w:r w:rsidRPr="00E476EB">
        <w:rPr>
          <w:b/>
          <w:bCs/>
        </w:rPr>
        <w:t>Duration:</w:t>
      </w:r>
      <w:r>
        <w:rPr>
          <w:b/>
          <w:bCs/>
        </w:rPr>
        <w:t xml:space="preserve"> </w:t>
      </w:r>
      <w:r>
        <w:t>March</w:t>
      </w:r>
      <w:r w:rsidRPr="00E476EB">
        <w:t xml:space="preserve"> 202</w:t>
      </w:r>
      <w:r>
        <w:t>6</w:t>
      </w:r>
      <w:r w:rsidRPr="00E476EB">
        <w:t xml:space="preserve"> – October 2027</w:t>
      </w:r>
      <w:r w:rsidRPr="00E476EB">
        <w:br/>
      </w:r>
      <w:r w:rsidRPr="00E476EB">
        <w:rPr>
          <w:b/>
          <w:bCs/>
        </w:rPr>
        <w:t>Reporting Line:</w:t>
      </w:r>
      <w:r>
        <w:rPr>
          <w:b/>
          <w:bCs/>
        </w:rPr>
        <w:t xml:space="preserve"> </w:t>
      </w:r>
      <w:r w:rsidRPr="00E476EB">
        <w:t>Team Leader</w:t>
      </w:r>
    </w:p>
    <w:p w14:paraId="7596A1BF" w14:textId="6757336C" w:rsidR="00E476EB" w:rsidRPr="00E476EB" w:rsidRDefault="00E476EB" w:rsidP="00E476EB">
      <w:pPr>
        <w:spacing w:after="0"/>
      </w:pPr>
      <w:r w:rsidRPr="00E476EB">
        <w:rPr>
          <w:b/>
          <w:bCs/>
        </w:rPr>
        <w:t>Location:</w:t>
      </w:r>
      <w:r>
        <w:rPr>
          <w:b/>
          <w:bCs/>
        </w:rPr>
        <w:t xml:space="preserve"> </w:t>
      </w:r>
      <w:r w:rsidRPr="00E476EB">
        <w:t>Dhaka, with frequent travel to selected project districts</w:t>
      </w:r>
    </w:p>
    <w:p w14:paraId="2EC82355" w14:textId="0EDB903F" w:rsidR="00E476EB" w:rsidRPr="00E476EB" w:rsidRDefault="00E476EB" w:rsidP="00E476EB">
      <w:pPr>
        <w:spacing w:after="0"/>
      </w:pPr>
    </w:p>
    <w:p w14:paraId="4F0052F6" w14:textId="77777777" w:rsidR="00E476EB" w:rsidRPr="00E476EB" w:rsidRDefault="00E476EB" w:rsidP="00E476EB">
      <w:pPr>
        <w:spacing w:after="0"/>
        <w:rPr>
          <w:b/>
          <w:bCs/>
        </w:rPr>
      </w:pPr>
      <w:r w:rsidRPr="00E476EB">
        <w:rPr>
          <w:b/>
          <w:bCs/>
        </w:rPr>
        <w:t>Position Overview</w:t>
      </w:r>
    </w:p>
    <w:p w14:paraId="5A7B9476" w14:textId="77777777" w:rsidR="00E476EB" w:rsidRPr="00E476EB" w:rsidRDefault="00E476EB" w:rsidP="00E476EB">
      <w:pPr>
        <w:spacing w:after="0"/>
      </w:pPr>
      <w:r w:rsidRPr="00E476EB">
        <w:t xml:space="preserve">The British Council seeks to engage an experienced </w:t>
      </w:r>
      <w:r w:rsidRPr="00E476EB">
        <w:rPr>
          <w:b/>
          <w:bCs/>
        </w:rPr>
        <w:t>e-Governance Coordinator</w:t>
      </w:r>
      <w:r w:rsidRPr="00E476EB">
        <w:t xml:space="preserve"> to support the implementation of the EU-funded </w:t>
      </w:r>
      <w:r w:rsidRPr="00E476EB">
        <w:rPr>
          <w:i/>
          <w:iCs/>
        </w:rPr>
        <w:t>E-</w:t>
      </w:r>
      <w:proofErr w:type="spellStart"/>
      <w:r w:rsidRPr="00E476EB">
        <w:rPr>
          <w:i/>
          <w:iCs/>
        </w:rPr>
        <w:t>ffective</w:t>
      </w:r>
      <w:proofErr w:type="spellEnd"/>
      <w:r w:rsidRPr="00E476EB">
        <w:rPr>
          <w:i/>
          <w:iCs/>
        </w:rPr>
        <w:t xml:space="preserve"> Governance: Accelerating E-Government and Digital Public Services in Bangladesh</w:t>
      </w:r>
      <w:r w:rsidRPr="00E476EB">
        <w:t xml:space="preserve"> project, implemented in partnership with the e-Governance Academy (eGA) of Estonia.</w:t>
      </w:r>
    </w:p>
    <w:p w14:paraId="1749B037" w14:textId="77777777" w:rsidR="00E476EB" w:rsidRDefault="00E476EB" w:rsidP="00E476EB">
      <w:pPr>
        <w:spacing w:after="0"/>
      </w:pPr>
    </w:p>
    <w:p w14:paraId="51FB5EB0" w14:textId="587839AE" w:rsidR="00E476EB" w:rsidRPr="00E476EB" w:rsidRDefault="00E476EB" w:rsidP="00E476EB">
      <w:pPr>
        <w:spacing w:after="0"/>
      </w:pPr>
      <w:r w:rsidRPr="00E476EB">
        <w:t>The role focuses on improving citizen-facing digital public services, with particular attention to user touchpoints, service interfaces, and end-to-end user journeys under Component 3 of the project. The consultant will apply service design and service engineering approaches to help government service owners, frontline staff, and delivery partners translate citizen needs into practical, implementable service improvements.</w:t>
      </w:r>
    </w:p>
    <w:p w14:paraId="336C6E63" w14:textId="00F9E5F5" w:rsidR="00E476EB" w:rsidRPr="00E476EB" w:rsidRDefault="00E476EB" w:rsidP="00E476EB">
      <w:pPr>
        <w:spacing w:after="0"/>
      </w:pPr>
      <w:r w:rsidRPr="00E476EB">
        <w:t>While the position does not involve ownership of backend systems or infrastructure, it requires strong technical literacy to engage effectively with vendors responsible for developing and maintaining websites and mobile applications supporting public services.</w:t>
      </w:r>
    </w:p>
    <w:p w14:paraId="61D3ADBF" w14:textId="27599FCA" w:rsidR="00E476EB" w:rsidRPr="00E476EB" w:rsidRDefault="00E476EB" w:rsidP="00E476EB">
      <w:pPr>
        <w:spacing w:after="0"/>
      </w:pPr>
    </w:p>
    <w:p w14:paraId="10BD53CD" w14:textId="77777777" w:rsidR="00E476EB" w:rsidRPr="00E476EB" w:rsidRDefault="00E476EB" w:rsidP="00E476EB">
      <w:pPr>
        <w:spacing w:after="0"/>
        <w:rPr>
          <w:b/>
          <w:bCs/>
        </w:rPr>
      </w:pPr>
      <w:r w:rsidRPr="00E476EB">
        <w:rPr>
          <w:b/>
          <w:bCs/>
        </w:rPr>
        <w:t>About the Project</w:t>
      </w:r>
    </w:p>
    <w:p w14:paraId="4A44AA07" w14:textId="2950C919" w:rsidR="00E476EB" w:rsidRPr="00E476EB" w:rsidRDefault="00E476EB" w:rsidP="00E476EB">
      <w:pPr>
        <w:spacing w:after="0"/>
      </w:pPr>
      <w:r>
        <w:t xml:space="preserve">EU funded </w:t>
      </w:r>
      <w:r w:rsidRPr="00E476EB">
        <w:rPr>
          <w:i/>
          <w:iCs/>
        </w:rPr>
        <w:t>E-</w:t>
      </w:r>
      <w:proofErr w:type="spellStart"/>
      <w:r w:rsidRPr="00E476EB">
        <w:rPr>
          <w:i/>
          <w:iCs/>
        </w:rPr>
        <w:t>ffective</w:t>
      </w:r>
      <w:proofErr w:type="spellEnd"/>
      <w:r w:rsidRPr="00E476EB">
        <w:rPr>
          <w:i/>
          <w:iCs/>
        </w:rPr>
        <w:t xml:space="preserve"> Governance</w:t>
      </w:r>
      <w:r w:rsidRPr="00E476EB">
        <w:t xml:space="preserve"> project aims to enhance transparency, accountability, and responsiveness in public service delivery through improved use of digital tools and processes. Implemented by the British Council and eGA, the project supports government institutions to improve the quality, accessibility, and consistency of selected digital public services, with a strong emphasis on citizen experience and learning.</w:t>
      </w:r>
    </w:p>
    <w:p w14:paraId="473B9E1E" w14:textId="0DF78F6B" w:rsidR="00E476EB" w:rsidRPr="00E476EB" w:rsidRDefault="00E476EB" w:rsidP="00E476EB">
      <w:pPr>
        <w:spacing w:after="0"/>
      </w:pPr>
    </w:p>
    <w:p w14:paraId="552DBAFD" w14:textId="77777777" w:rsidR="00E476EB" w:rsidRPr="00E476EB" w:rsidRDefault="00E476EB" w:rsidP="00E476EB">
      <w:pPr>
        <w:spacing w:after="0"/>
        <w:rPr>
          <w:b/>
          <w:bCs/>
        </w:rPr>
      </w:pPr>
      <w:r w:rsidRPr="00E476EB">
        <w:rPr>
          <w:b/>
          <w:bCs/>
        </w:rPr>
        <w:t>Role Purpose</w:t>
      </w:r>
    </w:p>
    <w:p w14:paraId="72D329BC" w14:textId="5CC3EB88" w:rsidR="00E476EB" w:rsidRPr="00E476EB" w:rsidRDefault="00E476EB" w:rsidP="00E476EB">
      <w:pPr>
        <w:spacing w:after="0"/>
      </w:pPr>
      <w:r w:rsidRPr="00E476EB">
        <w:t>The e-Governance Coordinator will support government partners to design, assess, and improve digital public services from a user perspective, focusing on service interfaces, workflows, and user journeys.</w:t>
      </w:r>
      <w:r>
        <w:t xml:space="preserve"> </w:t>
      </w:r>
      <w:r w:rsidRPr="00E476EB">
        <w:t>The role combines service design, service engineering, and practical technical oversight, enabling government institutions to work more effectively with delivery partners while maintaining a clear focus on citizen experience.</w:t>
      </w:r>
    </w:p>
    <w:p w14:paraId="29F4F328" w14:textId="1839867F" w:rsidR="00E476EB" w:rsidRPr="00E476EB" w:rsidRDefault="00E476EB" w:rsidP="00E476EB">
      <w:pPr>
        <w:spacing w:after="0"/>
      </w:pPr>
    </w:p>
    <w:p w14:paraId="66870C64" w14:textId="77777777" w:rsidR="00CA214A" w:rsidRDefault="00CA214A" w:rsidP="00E476EB">
      <w:pPr>
        <w:spacing w:after="0"/>
        <w:rPr>
          <w:b/>
          <w:bCs/>
        </w:rPr>
      </w:pPr>
    </w:p>
    <w:p w14:paraId="596400B0" w14:textId="77777777" w:rsidR="00CA214A" w:rsidRDefault="00CA214A" w:rsidP="00E476EB">
      <w:pPr>
        <w:spacing w:after="0"/>
        <w:rPr>
          <w:b/>
          <w:bCs/>
        </w:rPr>
      </w:pPr>
    </w:p>
    <w:p w14:paraId="352101B3" w14:textId="77A6E9CB" w:rsidR="00E476EB" w:rsidRPr="00E476EB" w:rsidRDefault="00E476EB" w:rsidP="00E476EB">
      <w:pPr>
        <w:spacing w:after="0"/>
        <w:rPr>
          <w:b/>
          <w:bCs/>
        </w:rPr>
      </w:pPr>
      <w:r w:rsidRPr="00E476EB">
        <w:rPr>
          <w:b/>
          <w:bCs/>
        </w:rPr>
        <w:t>Key Responsibilities</w:t>
      </w:r>
    </w:p>
    <w:p w14:paraId="4E4B0465" w14:textId="77777777" w:rsidR="00E476EB" w:rsidRPr="00E476EB" w:rsidRDefault="00E476EB" w:rsidP="00E476EB">
      <w:pPr>
        <w:spacing w:after="0"/>
        <w:rPr>
          <w:b/>
          <w:bCs/>
        </w:rPr>
      </w:pPr>
      <w:r w:rsidRPr="00E476EB">
        <w:rPr>
          <w:b/>
          <w:bCs/>
        </w:rPr>
        <w:t>1. User Journey Mapping and Service Engineering</w:t>
      </w:r>
    </w:p>
    <w:p w14:paraId="2EF484C3" w14:textId="77777777" w:rsidR="00E476EB" w:rsidRPr="00E476EB" w:rsidRDefault="00E476EB" w:rsidP="00E476EB">
      <w:pPr>
        <w:numPr>
          <w:ilvl w:val="0"/>
          <w:numId w:val="1"/>
        </w:numPr>
        <w:spacing w:after="0"/>
      </w:pPr>
      <w:r w:rsidRPr="00E476EB">
        <w:t>Lead user journey mapping and service blueprinting for selected digital public services, focusing on interfaces, workflows, and user interactions.</w:t>
      </w:r>
    </w:p>
    <w:p w14:paraId="75960028" w14:textId="77777777" w:rsidR="00E476EB" w:rsidRPr="00E476EB" w:rsidRDefault="00E476EB" w:rsidP="00E476EB">
      <w:pPr>
        <w:numPr>
          <w:ilvl w:val="0"/>
          <w:numId w:val="1"/>
        </w:numPr>
        <w:spacing w:after="0"/>
      </w:pPr>
      <w:r w:rsidRPr="00E476EB">
        <w:t>Identify usability issues, duplication, and friction across digital and hybrid service journeys.</w:t>
      </w:r>
    </w:p>
    <w:p w14:paraId="1690FE23" w14:textId="77777777" w:rsidR="00E476EB" w:rsidRPr="00E476EB" w:rsidRDefault="00E476EB" w:rsidP="00E476EB">
      <w:pPr>
        <w:numPr>
          <w:ilvl w:val="0"/>
          <w:numId w:val="1"/>
        </w:numPr>
        <w:spacing w:after="0"/>
      </w:pPr>
      <w:r w:rsidRPr="00E476EB">
        <w:t>Translate user experience findings into clear functional and non-functional service requirements.</w:t>
      </w:r>
    </w:p>
    <w:p w14:paraId="53724514" w14:textId="77777777" w:rsidR="00E476EB" w:rsidRPr="00E476EB" w:rsidRDefault="00E476EB" w:rsidP="00E476EB">
      <w:pPr>
        <w:numPr>
          <w:ilvl w:val="0"/>
          <w:numId w:val="1"/>
        </w:numPr>
        <w:spacing w:after="0"/>
      </w:pPr>
      <w:r w:rsidRPr="00E476EB">
        <w:t>Support service owners to prioritise service improvements that are technically feasible and aligned with operational realities.</w:t>
      </w:r>
    </w:p>
    <w:p w14:paraId="61D0EB3A" w14:textId="3453D33D" w:rsidR="00E476EB" w:rsidRPr="00E476EB" w:rsidRDefault="00E476EB" w:rsidP="00E476EB">
      <w:pPr>
        <w:spacing w:after="0"/>
      </w:pPr>
    </w:p>
    <w:p w14:paraId="26DCFD8B" w14:textId="77777777" w:rsidR="00E476EB" w:rsidRPr="00E476EB" w:rsidRDefault="00E476EB" w:rsidP="00E476EB">
      <w:pPr>
        <w:spacing w:after="0"/>
        <w:rPr>
          <w:b/>
          <w:bCs/>
        </w:rPr>
      </w:pPr>
      <w:r w:rsidRPr="00E476EB">
        <w:rPr>
          <w:b/>
          <w:bCs/>
        </w:rPr>
        <w:t>2. Service Design Standards and Quality Assurance</w:t>
      </w:r>
    </w:p>
    <w:p w14:paraId="06F77F70" w14:textId="77777777" w:rsidR="00E476EB" w:rsidRPr="00E476EB" w:rsidRDefault="00E476EB" w:rsidP="00E476EB">
      <w:pPr>
        <w:numPr>
          <w:ilvl w:val="0"/>
          <w:numId w:val="2"/>
        </w:numPr>
        <w:spacing w:after="0"/>
      </w:pPr>
      <w:r w:rsidRPr="00E476EB">
        <w:t>Support the development of service standard recommendations for digital public services, including usability, accessibility, clarity, and consistency.</w:t>
      </w:r>
    </w:p>
    <w:p w14:paraId="5FE0992B" w14:textId="77777777" w:rsidR="00E476EB" w:rsidRPr="00E476EB" w:rsidRDefault="00E476EB" w:rsidP="00E476EB">
      <w:pPr>
        <w:numPr>
          <w:ilvl w:val="0"/>
          <w:numId w:val="2"/>
        </w:numPr>
        <w:spacing w:after="0"/>
      </w:pPr>
      <w:r w:rsidRPr="00E476EB">
        <w:t>Apply service engineering principles to assess whether proposed service designs can be realistically implemented by delivery partners.</w:t>
      </w:r>
    </w:p>
    <w:p w14:paraId="4660EA47" w14:textId="77777777" w:rsidR="00E476EB" w:rsidRPr="00E476EB" w:rsidRDefault="00E476EB" w:rsidP="00E476EB">
      <w:pPr>
        <w:numPr>
          <w:ilvl w:val="0"/>
          <w:numId w:val="2"/>
        </w:numPr>
        <w:spacing w:after="0"/>
      </w:pPr>
      <w:r w:rsidRPr="00E476EB">
        <w:t>Support government teams to review and validate user interface designs, prototypes, and user flows produced by vendors.</w:t>
      </w:r>
    </w:p>
    <w:p w14:paraId="0F086F9A" w14:textId="77777777" w:rsidR="00E476EB" w:rsidRPr="00E476EB" w:rsidRDefault="00E476EB" w:rsidP="00E476EB">
      <w:pPr>
        <w:numPr>
          <w:ilvl w:val="0"/>
          <w:numId w:val="2"/>
        </w:numPr>
        <w:spacing w:after="0"/>
      </w:pPr>
      <w:r w:rsidRPr="00E476EB">
        <w:t>Promote a shared understanding of service quality expectations across government and delivery partners.</w:t>
      </w:r>
    </w:p>
    <w:p w14:paraId="51AE1733" w14:textId="77777777" w:rsidR="00E476EB" w:rsidRPr="00E476EB" w:rsidRDefault="00E476EB" w:rsidP="00E476EB">
      <w:pPr>
        <w:numPr>
          <w:ilvl w:val="0"/>
          <w:numId w:val="2"/>
        </w:numPr>
        <w:spacing w:after="0"/>
      </w:pPr>
      <w:r w:rsidRPr="00E476EB">
        <w:t>Contribute to alignment of service design practices with relevant government guidelines and digital service frameworks, as appropriate.</w:t>
      </w:r>
    </w:p>
    <w:p w14:paraId="1EBCD878" w14:textId="5006939C" w:rsidR="00E476EB" w:rsidRPr="00E476EB" w:rsidRDefault="00E476EB" w:rsidP="00E476EB">
      <w:pPr>
        <w:spacing w:after="0"/>
      </w:pPr>
    </w:p>
    <w:p w14:paraId="4DC93E5F" w14:textId="77777777" w:rsidR="00E476EB" w:rsidRPr="00E476EB" w:rsidRDefault="00E476EB" w:rsidP="00E476EB">
      <w:pPr>
        <w:spacing w:after="0"/>
        <w:rPr>
          <w:b/>
          <w:bCs/>
        </w:rPr>
      </w:pPr>
      <w:r w:rsidRPr="00E476EB">
        <w:rPr>
          <w:b/>
          <w:bCs/>
        </w:rPr>
        <w:t>3. Communities of Practice and Cross-Government Learning</w:t>
      </w:r>
    </w:p>
    <w:p w14:paraId="3C6AA6FE" w14:textId="77777777" w:rsidR="00E476EB" w:rsidRPr="00E476EB" w:rsidRDefault="00E476EB" w:rsidP="00E476EB">
      <w:pPr>
        <w:numPr>
          <w:ilvl w:val="0"/>
          <w:numId w:val="3"/>
        </w:numPr>
        <w:spacing w:after="0"/>
      </w:pPr>
      <w:r w:rsidRPr="00E476EB">
        <w:t>Facilitate communities of practice focused on digital public service design and delivery, bringing together service owners, designers, and technical focal points from government institutions.</w:t>
      </w:r>
    </w:p>
    <w:p w14:paraId="62952800" w14:textId="77777777" w:rsidR="00E476EB" w:rsidRPr="00E476EB" w:rsidRDefault="00E476EB" w:rsidP="00E476EB">
      <w:pPr>
        <w:numPr>
          <w:ilvl w:val="0"/>
          <w:numId w:val="3"/>
        </w:numPr>
        <w:spacing w:after="0"/>
      </w:pPr>
      <w:r w:rsidRPr="00E476EB">
        <w:t>Enable peer learning across agencies on managing vendors, defining service requirements, and improving service experience.</w:t>
      </w:r>
    </w:p>
    <w:p w14:paraId="0F2C7E04" w14:textId="77777777" w:rsidR="00E476EB" w:rsidRPr="00E476EB" w:rsidRDefault="00E476EB" w:rsidP="00E476EB">
      <w:pPr>
        <w:numPr>
          <w:ilvl w:val="0"/>
          <w:numId w:val="3"/>
        </w:numPr>
        <w:spacing w:after="0"/>
      </w:pPr>
      <w:r w:rsidRPr="00E476EB">
        <w:t>Design and facilitate technical-functional workshops that bridge service design, delivery realities, and implementation.</w:t>
      </w:r>
    </w:p>
    <w:p w14:paraId="38EB1627" w14:textId="3D99CAD1" w:rsidR="00E476EB" w:rsidRPr="00E476EB" w:rsidRDefault="00E476EB" w:rsidP="00E476EB">
      <w:pPr>
        <w:spacing w:after="0"/>
      </w:pPr>
    </w:p>
    <w:p w14:paraId="2DBDA093" w14:textId="77777777" w:rsidR="00E476EB" w:rsidRPr="00E476EB" w:rsidRDefault="00E476EB" w:rsidP="00E476EB">
      <w:pPr>
        <w:spacing w:after="0"/>
        <w:rPr>
          <w:b/>
          <w:bCs/>
        </w:rPr>
      </w:pPr>
      <w:r w:rsidRPr="00E476EB">
        <w:rPr>
          <w:b/>
          <w:bCs/>
        </w:rPr>
        <w:t>4. Citizen Feedback and Service Improvement</w:t>
      </w:r>
    </w:p>
    <w:p w14:paraId="5EC5E90A" w14:textId="77777777" w:rsidR="00E476EB" w:rsidRPr="00E476EB" w:rsidRDefault="00E476EB" w:rsidP="00E476EB">
      <w:pPr>
        <w:numPr>
          <w:ilvl w:val="0"/>
          <w:numId w:val="4"/>
        </w:numPr>
        <w:spacing w:after="0"/>
      </w:pPr>
      <w:r w:rsidRPr="00E476EB">
        <w:t>Support structured collection and synthesis of citizen feedback related to digital service use and experience.</w:t>
      </w:r>
    </w:p>
    <w:p w14:paraId="698A02F7" w14:textId="77777777" w:rsidR="00E476EB" w:rsidRPr="00E476EB" w:rsidRDefault="00E476EB" w:rsidP="00E476EB">
      <w:pPr>
        <w:numPr>
          <w:ilvl w:val="0"/>
          <w:numId w:val="4"/>
        </w:numPr>
        <w:spacing w:after="0"/>
      </w:pPr>
      <w:r w:rsidRPr="00E476EB">
        <w:t>Translate citizen feedback into actionable design and interface improvements.</w:t>
      </w:r>
    </w:p>
    <w:p w14:paraId="6EA0B1DE" w14:textId="77777777" w:rsidR="00E476EB" w:rsidRPr="00E476EB" w:rsidRDefault="00E476EB" w:rsidP="00E476EB">
      <w:pPr>
        <w:numPr>
          <w:ilvl w:val="0"/>
          <w:numId w:val="4"/>
        </w:numPr>
        <w:spacing w:after="0"/>
      </w:pPr>
      <w:r w:rsidRPr="00E476EB">
        <w:t>Ensure citizen perspectives are communicated to service owners and vendors in a constructive and implementation-oriented manner.</w:t>
      </w:r>
    </w:p>
    <w:p w14:paraId="25D48052" w14:textId="77777777" w:rsidR="00E476EB" w:rsidRPr="00E476EB" w:rsidRDefault="00E476EB" w:rsidP="00E476EB">
      <w:pPr>
        <w:numPr>
          <w:ilvl w:val="0"/>
          <w:numId w:val="4"/>
        </w:numPr>
        <w:spacing w:after="0"/>
      </w:pPr>
      <w:r w:rsidRPr="00E476EB">
        <w:lastRenderedPageBreak/>
        <w:t>Pay particular attention to service barriers experienced by women, persons with disabilities, and other underserved groups.</w:t>
      </w:r>
    </w:p>
    <w:p w14:paraId="644B8834" w14:textId="0BF67E23" w:rsidR="00E476EB" w:rsidRDefault="00E476EB" w:rsidP="00E476EB">
      <w:pPr>
        <w:spacing w:after="0"/>
      </w:pPr>
    </w:p>
    <w:p w14:paraId="40B5187E" w14:textId="632FA961" w:rsidR="00E476EB" w:rsidRPr="00E476EB" w:rsidRDefault="00E476EB" w:rsidP="00E476EB">
      <w:pPr>
        <w:spacing w:after="0"/>
        <w:rPr>
          <w:b/>
          <w:bCs/>
        </w:rPr>
      </w:pPr>
      <w:r w:rsidRPr="00E476EB">
        <w:rPr>
          <w:b/>
          <w:bCs/>
        </w:rPr>
        <w:t>5. Technical Coordination</w:t>
      </w:r>
    </w:p>
    <w:p w14:paraId="7E797F4C" w14:textId="77777777" w:rsidR="00E476EB" w:rsidRPr="00E476EB" w:rsidRDefault="00E476EB" w:rsidP="00E476EB">
      <w:pPr>
        <w:numPr>
          <w:ilvl w:val="0"/>
          <w:numId w:val="5"/>
        </w:numPr>
        <w:spacing w:after="0"/>
      </w:pPr>
      <w:r w:rsidRPr="00E476EB">
        <w:t>Act as a technical counterpart to software vendors developing websites and mobile applications for public services.</w:t>
      </w:r>
    </w:p>
    <w:p w14:paraId="16158B89" w14:textId="77777777" w:rsidR="00E476EB" w:rsidRPr="00E476EB" w:rsidRDefault="00E476EB" w:rsidP="00E476EB">
      <w:pPr>
        <w:numPr>
          <w:ilvl w:val="0"/>
          <w:numId w:val="5"/>
        </w:numPr>
        <w:spacing w:after="0"/>
      </w:pPr>
      <w:r w:rsidRPr="00E476EB">
        <w:t>Support service owners in articulating clear service requirements, user stories, and acceptance criteria.</w:t>
      </w:r>
    </w:p>
    <w:p w14:paraId="5396C33C" w14:textId="77777777" w:rsidR="00E476EB" w:rsidRPr="00E476EB" w:rsidRDefault="00E476EB" w:rsidP="00E476EB">
      <w:pPr>
        <w:numPr>
          <w:ilvl w:val="0"/>
          <w:numId w:val="5"/>
        </w:numPr>
        <w:spacing w:after="0"/>
      </w:pPr>
      <w:r w:rsidRPr="00E476EB">
        <w:t>Review vendor deliverables related to user interfaces, workflows, and service usability.</w:t>
      </w:r>
    </w:p>
    <w:p w14:paraId="59CCC50A" w14:textId="77777777" w:rsidR="00E476EB" w:rsidRPr="00E476EB" w:rsidRDefault="00E476EB" w:rsidP="00E476EB">
      <w:pPr>
        <w:numPr>
          <w:ilvl w:val="0"/>
          <w:numId w:val="5"/>
        </w:numPr>
        <w:spacing w:after="0"/>
      </w:pPr>
      <w:r w:rsidRPr="00E476EB">
        <w:t>Facilitate constructive dialogue between government service owners and vendors to ensure alignment with service standards and user needs.</w:t>
      </w:r>
    </w:p>
    <w:p w14:paraId="1FAFEE38" w14:textId="47E73559" w:rsidR="00E476EB" w:rsidRPr="00E476EB" w:rsidRDefault="00E476EB" w:rsidP="00E476EB">
      <w:pPr>
        <w:spacing w:after="0"/>
      </w:pPr>
    </w:p>
    <w:p w14:paraId="3B52AF2A" w14:textId="77777777" w:rsidR="00E476EB" w:rsidRPr="00E476EB" w:rsidRDefault="00E476EB" w:rsidP="00E476EB">
      <w:pPr>
        <w:spacing w:after="0"/>
        <w:rPr>
          <w:b/>
          <w:bCs/>
        </w:rPr>
      </w:pPr>
      <w:r w:rsidRPr="00E476EB">
        <w:rPr>
          <w:b/>
          <w:bCs/>
        </w:rPr>
        <w:t>6. Learning, Documentation, and Reporting</w:t>
      </w:r>
    </w:p>
    <w:p w14:paraId="6E16A969" w14:textId="77777777" w:rsidR="00E476EB" w:rsidRPr="00E476EB" w:rsidRDefault="00E476EB" w:rsidP="00E476EB">
      <w:pPr>
        <w:numPr>
          <w:ilvl w:val="0"/>
          <w:numId w:val="6"/>
        </w:numPr>
        <w:spacing w:after="0"/>
      </w:pPr>
      <w:r w:rsidRPr="00E476EB">
        <w:t>Document service design processes, technical-functional decisions, and lessons learned.</w:t>
      </w:r>
    </w:p>
    <w:p w14:paraId="766E0219" w14:textId="77777777" w:rsidR="00E476EB" w:rsidRPr="00E476EB" w:rsidRDefault="00E476EB" w:rsidP="00E476EB">
      <w:pPr>
        <w:numPr>
          <w:ilvl w:val="0"/>
          <w:numId w:val="6"/>
        </w:numPr>
        <w:spacing w:after="0"/>
      </w:pPr>
      <w:r w:rsidRPr="00E476EB">
        <w:t>Contribute inputs to project reporting focused on service quality and delivery outcomes.</w:t>
      </w:r>
    </w:p>
    <w:p w14:paraId="75537B14" w14:textId="77777777" w:rsidR="00E476EB" w:rsidRPr="00E476EB" w:rsidRDefault="00E476EB" w:rsidP="00E476EB">
      <w:pPr>
        <w:numPr>
          <w:ilvl w:val="0"/>
          <w:numId w:val="6"/>
        </w:numPr>
        <w:spacing w:after="0"/>
      </w:pPr>
      <w:r w:rsidRPr="00E476EB">
        <w:t>Support identification of transferable practices relevant to user-centred digital public service delivery.</w:t>
      </w:r>
    </w:p>
    <w:p w14:paraId="1EA5B42A" w14:textId="71E98628" w:rsidR="00E476EB" w:rsidRPr="00E476EB" w:rsidRDefault="00E476EB" w:rsidP="00E476EB">
      <w:pPr>
        <w:spacing w:after="0"/>
      </w:pPr>
    </w:p>
    <w:p w14:paraId="55FD7983" w14:textId="77777777" w:rsidR="00E476EB" w:rsidRPr="00E476EB" w:rsidRDefault="00E476EB" w:rsidP="00E476EB">
      <w:pPr>
        <w:spacing w:after="0"/>
        <w:rPr>
          <w:b/>
          <w:bCs/>
        </w:rPr>
      </w:pPr>
      <w:r w:rsidRPr="00E476EB">
        <w:rPr>
          <w:b/>
          <w:bCs/>
        </w:rPr>
        <w:t>Key Deliverables</w:t>
      </w:r>
    </w:p>
    <w:p w14:paraId="782B70A7" w14:textId="77777777" w:rsidR="00E476EB" w:rsidRPr="00E476EB" w:rsidRDefault="00E476EB" w:rsidP="00E476EB">
      <w:pPr>
        <w:numPr>
          <w:ilvl w:val="0"/>
          <w:numId w:val="7"/>
        </w:numPr>
        <w:spacing w:after="0"/>
      </w:pPr>
      <w:r w:rsidRPr="00E476EB">
        <w:t>User journey maps, service blueprints, and interface flow documentation.</w:t>
      </w:r>
    </w:p>
    <w:p w14:paraId="358D9D3F" w14:textId="77777777" w:rsidR="00E476EB" w:rsidRPr="00E476EB" w:rsidRDefault="00E476EB" w:rsidP="00E476EB">
      <w:pPr>
        <w:numPr>
          <w:ilvl w:val="0"/>
          <w:numId w:val="7"/>
        </w:numPr>
        <w:spacing w:after="0"/>
      </w:pPr>
      <w:r w:rsidRPr="00E476EB">
        <w:t>Service standard guidance notes for digital public services.</w:t>
      </w:r>
    </w:p>
    <w:p w14:paraId="14D646FE" w14:textId="77777777" w:rsidR="00E476EB" w:rsidRPr="00E476EB" w:rsidRDefault="00E476EB" w:rsidP="00E476EB">
      <w:pPr>
        <w:numPr>
          <w:ilvl w:val="0"/>
          <w:numId w:val="7"/>
        </w:numPr>
        <w:spacing w:after="0"/>
      </w:pPr>
      <w:r w:rsidRPr="00E476EB">
        <w:t>Functional service requirements and usability recommendations for vendors.</w:t>
      </w:r>
    </w:p>
    <w:p w14:paraId="7B6E2E39" w14:textId="77777777" w:rsidR="00E476EB" w:rsidRPr="00E476EB" w:rsidRDefault="00E476EB" w:rsidP="00E476EB">
      <w:pPr>
        <w:numPr>
          <w:ilvl w:val="0"/>
          <w:numId w:val="7"/>
        </w:numPr>
        <w:spacing w:after="0"/>
      </w:pPr>
      <w:r w:rsidRPr="00E476EB">
        <w:t>Documentation from communities of practice and technical learning sessions.</w:t>
      </w:r>
    </w:p>
    <w:p w14:paraId="4CF04A80" w14:textId="77777777" w:rsidR="00E476EB" w:rsidRPr="00E476EB" w:rsidRDefault="00E476EB" w:rsidP="00E476EB">
      <w:pPr>
        <w:numPr>
          <w:ilvl w:val="0"/>
          <w:numId w:val="7"/>
        </w:numPr>
        <w:spacing w:after="0"/>
      </w:pPr>
      <w:r w:rsidRPr="00E476EB">
        <w:t>Inputs to project reports capturing service design and delivery lessons.</w:t>
      </w:r>
    </w:p>
    <w:p w14:paraId="3966EBD7" w14:textId="26CCAC70" w:rsidR="00E476EB" w:rsidRPr="00E476EB" w:rsidRDefault="00E476EB" w:rsidP="00E476EB">
      <w:pPr>
        <w:spacing w:after="0"/>
      </w:pPr>
    </w:p>
    <w:p w14:paraId="3C725AB1" w14:textId="77777777" w:rsidR="00E476EB" w:rsidRPr="00E476EB" w:rsidRDefault="00E476EB" w:rsidP="00E476EB">
      <w:pPr>
        <w:spacing w:after="0"/>
        <w:rPr>
          <w:b/>
          <w:bCs/>
        </w:rPr>
      </w:pPr>
      <w:r w:rsidRPr="00E476EB">
        <w:rPr>
          <w:b/>
          <w:bCs/>
        </w:rPr>
        <w:t>Required Qualifications and Experience</w:t>
      </w:r>
    </w:p>
    <w:p w14:paraId="2EA5B941" w14:textId="77777777" w:rsidR="00E476EB" w:rsidRDefault="00E476EB" w:rsidP="00E476EB">
      <w:pPr>
        <w:spacing w:after="0"/>
        <w:rPr>
          <w:b/>
          <w:bCs/>
        </w:rPr>
      </w:pPr>
    </w:p>
    <w:p w14:paraId="0A0E0C00" w14:textId="3681DA70" w:rsidR="00E476EB" w:rsidRPr="00E476EB" w:rsidRDefault="00E476EB" w:rsidP="00E476EB">
      <w:pPr>
        <w:spacing w:after="0"/>
        <w:rPr>
          <w:b/>
          <w:bCs/>
        </w:rPr>
      </w:pPr>
      <w:r w:rsidRPr="00E476EB">
        <w:rPr>
          <w:b/>
          <w:bCs/>
        </w:rPr>
        <w:t>Education</w:t>
      </w:r>
    </w:p>
    <w:p w14:paraId="57EF0B5B" w14:textId="77777777" w:rsidR="00E476EB" w:rsidRPr="00E476EB" w:rsidRDefault="00E476EB" w:rsidP="00E476EB">
      <w:pPr>
        <w:numPr>
          <w:ilvl w:val="0"/>
          <w:numId w:val="8"/>
        </w:numPr>
        <w:spacing w:after="0"/>
      </w:pPr>
      <w:r w:rsidRPr="00E476EB">
        <w:t>Master’s degree in Public Administration, Digital Governance, Information Systems, Service Design, Computer Science, or a related field.</w:t>
      </w:r>
    </w:p>
    <w:p w14:paraId="45127D10" w14:textId="77777777" w:rsidR="00CA214A" w:rsidRDefault="00CA214A" w:rsidP="00E476EB">
      <w:pPr>
        <w:spacing w:after="0"/>
        <w:rPr>
          <w:b/>
          <w:bCs/>
        </w:rPr>
      </w:pPr>
    </w:p>
    <w:p w14:paraId="0893741C" w14:textId="5565FFC8" w:rsidR="00E476EB" w:rsidRPr="00E476EB" w:rsidRDefault="00E476EB" w:rsidP="00E476EB">
      <w:pPr>
        <w:spacing w:after="0"/>
        <w:rPr>
          <w:b/>
          <w:bCs/>
        </w:rPr>
      </w:pPr>
      <w:r w:rsidRPr="00E476EB">
        <w:rPr>
          <w:b/>
          <w:bCs/>
        </w:rPr>
        <w:t>Professional Experience</w:t>
      </w:r>
    </w:p>
    <w:p w14:paraId="1BDA05AE" w14:textId="77777777" w:rsidR="00E476EB" w:rsidRPr="00E476EB" w:rsidRDefault="00E476EB" w:rsidP="00E476EB">
      <w:pPr>
        <w:numPr>
          <w:ilvl w:val="0"/>
          <w:numId w:val="9"/>
        </w:numPr>
        <w:spacing w:after="0"/>
      </w:pPr>
      <w:r w:rsidRPr="00E476EB">
        <w:t>At least seven years of relevant experience in digital public service delivery, service design, service engineering, or related fields.</w:t>
      </w:r>
    </w:p>
    <w:p w14:paraId="16189DD5" w14:textId="26C0BFCB" w:rsidR="00E476EB" w:rsidRPr="00E476EB" w:rsidRDefault="00E476EB" w:rsidP="00E476EB">
      <w:pPr>
        <w:numPr>
          <w:ilvl w:val="0"/>
          <w:numId w:val="9"/>
        </w:numPr>
        <w:spacing w:after="0"/>
      </w:pPr>
      <w:r w:rsidRPr="00E476EB">
        <w:t>Demonstrated experience working with vendors, designers, and development teams.</w:t>
      </w:r>
    </w:p>
    <w:p w14:paraId="496BC201" w14:textId="77777777" w:rsidR="00E476EB" w:rsidRPr="00E476EB" w:rsidRDefault="00E476EB" w:rsidP="00E476EB">
      <w:pPr>
        <w:numPr>
          <w:ilvl w:val="0"/>
          <w:numId w:val="9"/>
        </w:numPr>
        <w:spacing w:after="0"/>
      </w:pPr>
      <w:r w:rsidRPr="00E476EB">
        <w:t>Strong understanding of how websites and mobile applications are designed, built, and iterated.</w:t>
      </w:r>
    </w:p>
    <w:p w14:paraId="45FE8118" w14:textId="77777777" w:rsidR="00E476EB" w:rsidRPr="00E476EB" w:rsidRDefault="00E476EB" w:rsidP="00E476EB">
      <w:pPr>
        <w:numPr>
          <w:ilvl w:val="0"/>
          <w:numId w:val="9"/>
        </w:numPr>
        <w:spacing w:after="0"/>
      </w:pPr>
      <w:r w:rsidRPr="00E476EB">
        <w:lastRenderedPageBreak/>
        <w:t>Experience supporting government institutions in managing service delivery without owning technical infrastructure.</w:t>
      </w:r>
    </w:p>
    <w:p w14:paraId="4FAB62AA" w14:textId="77777777" w:rsidR="00E476EB" w:rsidRDefault="00E476EB" w:rsidP="00E476EB">
      <w:pPr>
        <w:numPr>
          <w:ilvl w:val="0"/>
          <w:numId w:val="9"/>
        </w:numPr>
        <w:spacing w:after="0"/>
      </w:pPr>
      <w:r w:rsidRPr="00E476EB">
        <w:t>Proven experience facilitating multi-stakeholder and technical-functional processes.</w:t>
      </w:r>
    </w:p>
    <w:p w14:paraId="589A578B" w14:textId="77777777" w:rsidR="00CA214A" w:rsidRPr="00E476EB" w:rsidRDefault="00CA214A" w:rsidP="00CA214A">
      <w:pPr>
        <w:spacing w:after="0"/>
        <w:ind w:left="720"/>
      </w:pPr>
    </w:p>
    <w:p w14:paraId="7CF4F1A4" w14:textId="77777777" w:rsidR="00E476EB" w:rsidRPr="00E476EB" w:rsidRDefault="00E476EB" w:rsidP="00E476EB">
      <w:pPr>
        <w:spacing w:after="0"/>
        <w:rPr>
          <w:b/>
          <w:bCs/>
        </w:rPr>
      </w:pPr>
      <w:r w:rsidRPr="00E476EB">
        <w:rPr>
          <w:b/>
          <w:bCs/>
        </w:rPr>
        <w:t>Skills and Competencies</w:t>
      </w:r>
    </w:p>
    <w:p w14:paraId="5BE71145" w14:textId="77777777" w:rsidR="00E476EB" w:rsidRPr="00E476EB" w:rsidRDefault="00E476EB" w:rsidP="00E476EB">
      <w:pPr>
        <w:numPr>
          <w:ilvl w:val="0"/>
          <w:numId w:val="10"/>
        </w:numPr>
        <w:spacing w:after="0"/>
      </w:pPr>
      <w:r w:rsidRPr="00E476EB">
        <w:t>Strong service design and service engineering skills.</w:t>
      </w:r>
    </w:p>
    <w:p w14:paraId="4A8E6519" w14:textId="77777777" w:rsidR="00E476EB" w:rsidRPr="00E476EB" w:rsidRDefault="00E476EB" w:rsidP="00E476EB">
      <w:pPr>
        <w:numPr>
          <w:ilvl w:val="0"/>
          <w:numId w:val="10"/>
        </w:numPr>
        <w:spacing w:after="0"/>
      </w:pPr>
      <w:r w:rsidRPr="00E476EB">
        <w:t>Technical literacy sufficient to engage confidently with developers and vendors.</w:t>
      </w:r>
    </w:p>
    <w:p w14:paraId="53C95289" w14:textId="77777777" w:rsidR="00E476EB" w:rsidRPr="00E476EB" w:rsidRDefault="00E476EB" w:rsidP="00E476EB">
      <w:pPr>
        <w:numPr>
          <w:ilvl w:val="0"/>
          <w:numId w:val="10"/>
        </w:numPr>
        <w:spacing w:after="0"/>
      </w:pPr>
      <w:r w:rsidRPr="00E476EB">
        <w:t>Ability to translate user needs into functional requirements and design guidance.</w:t>
      </w:r>
    </w:p>
    <w:p w14:paraId="6D704588" w14:textId="77777777" w:rsidR="00E476EB" w:rsidRPr="00E476EB" w:rsidRDefault="00E476EB" w:rsidP="00E476EB">
      <w:pPr>
        <w:numPr>
          <w:ilvl w:val="0"/>
          <w:numId w:val="10"/>
        </w:numPr>
        <w:spacing w:after="0"/>
      </w:pPr>
      <w:r w:rsidRPr="00E476EB">
        <w:t>Excellent facilitation, communication, and documentation skills.</w:t>
      </w:r>
    </w:p>
    <w:p w14:paraId="0728649A" w14:textId="77777777" w:rsidR="00E476EB" w:rsidRPr="00E476EB" w:rsidRDefault="00E476EB" w:rsidP="00E476EB">
      <w:pPr>
        <w:numPr>
          <w:ilvl w:val="0"/>
          <w:numId w:val="10"/>
        </w:numPr>
        <w:spacing w:after="0"/>
      </w:pPr>
      <w:r w:rsidRPr="00E476EB">
        <w:t>Sensitivity to institutional and political contexts while maintaining technical credibility.</w:t>
      </w:r>
    </w:p>
    <w:p w14:paraId="33A81487" w14:textId="14FFFA90" w:rsidR="00E476EB" w:rsidRPr="00E476EB" w:rsidRDefault="00E476EB" w:rsidP="00E476EB">
      <w:pPr>
        <w:spacing w:after="0"/>
      </w:pPr>
    </w:p>
    <w:p w14:paraId="52285BCE" w14:textId="77777777" w:rsidR="00E476EB" w:rsidRPr="00E476EB" w:rsidRDefault="00E476EB" w:rsidP="00E476EB">
      <w:pPr>
        <w:spacing w:after="0"/>
        <w:rPr>
          <w:b/>
          <w:bCs/>
        </w:rPr>
      </w:pPr>
      <w:r w:rsidRPr="00E476EB">
        <w:rPr>
          <w:b/>
          <w:bCs/>
        </w:rPr>
        <w:t>How to Apply</w:t>
      </w:r>
    </w:p>
    <w:p w14:paraId="1E4FB80B" w14:textId="77777777" w:rsidR="00E476EB" w:rsidRDefault="00E476EB" w:rsidP="00E476EB">
      <w:pPr>
        <w:spacing w:after="0"/>
      </w:pPr>
    </w:p>
    <w:p w14:paraId="7156C2BA" w14:textId="0BCECEB5" w:rsidR="00E476EB" w:rsidRPr="00E476EB" w:rsidRDefault="00E476EB" w:rsidP="00E476EB">
      <w:pPr>
        <w:spacing w:after="0"/>
      </w:pPr>
      <w:r w:rsidRPr="00E476EB">
        <w:t xml:space="preserve">To apply, please submit the following documents in PDF format by email to </w:t>
      </w:r>
      <w:hyperlink r:id="rId10" w:history="1">
        <w:r w:rsidR="00DD22A7" w:rsidRPr="00521BF5">
          <w:rPr>
            <w:rStyle w:val="Hyperlink"/>
            <w:b/>
            <w:bCs/>
          </w:rPr>
          <w:t>recruitment.nfe@britishcouncil.org</w:t>
        </w:r>
      </w:hyperlink>
      <w:r w:rsidRPr="00E476EB">
        <w:t>:</w:t>
      </w:r>
      <w:r w:rsidR="00DD22A7">
        <w:t xml:space="preserve"> </w:t>
      </w:r>
    </w:p>
    <w:p w14:paraId="2879520F" w14:textId="77777777" w:rsidR="00E476EB" w:rsidRPr="00E476EB" w:rsidRDefault="00E476EB" w:rsidP="00E476EB">
      <w:pPr>
        <w:numPr>
          <w:ilvl w:val="0"/>
          <w:numId w:val="11"/>
        </w:numPr>
        <w:spacing w:after="0"/>
      </w:pPr>
      <w:r w:rsidRPr="00E476EB">
        <w:t>A motivation letter outlining relevant experience and suitability for the role.</w:t>
      </w:r>
    </w:p>
    <w:p w14:paraId="514DBFEC" w14:textId="77777777" w:rsidR="00E476EB" w:rsidRPr="00E476EB" w:rsidRDefault="00E476EB" w:rsidP="00E476EB">
      <w:pPr>
        <w:numPr>
          <w:ilvl w:val="0"/>
          <w:numId w:val="11"/>
        </w:numPr>
        <w:spacing w:after="0"/>
      </w:pPr>
      <w:r w:rsidRPr="00E476EB">
        <w:t>A current curriculum vitae (CV).</w:t>
      </w:r>
    </w:p>
    <w:p w14:paraId="2EC89C99" w14:textId="77777777" w:rsidR="00E476EB" w:rsidRPr="00E476EB" w:rsidRDefault="00E476EB" w:rsidP="00E476EB">
      <w:pPr>
        <w:numPr>
          <w:ilvl w:val="0"/>
          <w:numId w:val="11"/>
        </w:numPr>
        <w:spacing w:after="0"/>
      </w:pPr>
      <w:r w:rsidRPr="00E476EB">
        <w:t>Three professional references from former supervisors or senior managers.</w:t>
      </w:r>
    </w:p>
    <w:p w14:paraId="1C36D06F" w14:textId="77777777" w:rsidR="00E476EB" w:rsidRDefault="00E476EB" w:rsidP="00E476EB">
      <w:pPr>
        <w:spacing w:after="0"/>
      </w:pPr>
    </w:p>
    <w:p w14:paraId="612C6795" w14:textId="4B8A85AB" w:rsidR="00E476EB" w:rsidRPr="00E476EB" w:rsidRDefault="00E476EB" w:rsidP="00E476EB">
      <w:pPr>
        <w:spacing w:after="0"/>
      </w:pPr>
      <w:r w:rsidRPr="00E476EB">
        <w:t>Please use the subject line:</w:t>
      </w:r>
      <w:r w:rsidRPr="00E476EB">
        <w:br/>
      </w:r>
      <w:r w:rsidRPr="00E476EB">
        <w:rPr>
          <w:b/>
          <w:bCs/>
        </w:rPr>
        <w:t>“Application for e-Governance Coordinator position.”</w:t>
      </w:r>
    </w:p>
    <w:p w14:paraId="7F8E9C56" w14:textId="7D52DCFC" w:rsidR="00E476EB" w:rsidRPr="00E476EB" w:rsidRDefault="00E476EB" w:rsidP="00E476EB">
      <w:pPr>
        <w:spacing w:after="0"/>
      </w:pPr>
      <w:r w:rsidRPr="00E476EB">
        <w:rPr>
          <w:b/>
          <w:bCs/>
        </w:rPr>
        <w:t>Closing date:</w:t>
      </w:r>
      <w:r w:rsidRPr="00E476EB">
        <w:t xml:space="preserve"> 1</w:t>
      </w:r>
      <w:r w:rsidR="006B4879">
        <w:t>2</w:t>
      </w:r>
      <w:r w:rsidRPr="00E476EB">
        <w:t xml:space="preserve"> </w:t>
      </w:r>
      <w:r>
        <w:t>January</w:t>
      </w:r>
      <w:r w:rsidRPr="00E476EB">
        <w:t xml:space="preserve"> 202</w:t>
      </w:r>
      <w:r>
        <w:t>6</w:t>
      </w:r>
    </w:p>
    <w:p w14:paraId="6681B61F" w14:textId="77777777" w:rsidR="00E476EB" w:rsidRDefault="00E476EB" w:rsidP="00E476EB">
      <w:pPr>
        <w:spacing w:after="0"/>
      </w:pPr>
    </w:p>
    <w:sectPr w:rsidR="00E476E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7770" w14:textId="77777777" w:rsidR="00427F3A" w:rsidRDefault="00427F3A" w:rsidP="00427F3A">
      <w:pPr>
        <w:spacing w:after="0" w:line="240" w:lineRule="auto"/>
      </w:pPr>
      <w:r>
        <w:separator/>
      </w:r>
    </w:p>
  </w:endnote>
  <w:endnote w:type="continuationSeparator" w:id="0">
    <w:p w14:paraId="6E4E6C4C" w14:textId="77777777" w:rsidR="00427F3A" w:rsidRDefault="00427F3A" w:rsidP="0042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4F0F" w14:textId="77777777" w:rsidR="00427F3A" w:rsidRDefault="00427F3A" w:rsidP="00427F3A">
      <w:pPr>
        <w:spacing w:after="0" w:line="240" w:lineRule="auto"/>
      </w:pPr>
      <w:r>
        <w:separator/>
      </w:r>
    </w:p>
  </w:footnote>
  <w:footnote w:type="continuationSeparator" w:id="0">
    <w:p w14:paraId="6BF6ABDD" w14:textId="77777777" w:rsidR="00427F3A" w:rsidRDefault="00427F3A" w:rsidP="00427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3FA7" w14:textId="5924D765" w:rsidR="00427F3A" w:rsidRDefault="00427F3A">
    <w:pPr>
      <w:pStyle w:val="Header"/>
    </w:pPr>
    <w:r>
      <w:rPr>
        <w:noProof/>
        <w:lang w:val="en-US"/>
      </w:rPr>
      <w:drawing>
        <wp:anchor distT="0" distB="0" distL="114300" distR="114300" simplePos="0" relativeHeight="251659264" behindDoc="0" locked="0" layoutInCell="1" allowOverlap="1" wp14:anchorId="7568241E" wp14:editId="373E785A">
          <wp:simplePos x="0" y="0"/>
          <wp:positionH relativeFrom="margin">
            <wp:posOffset>0</wp:posOffset>
          </wp:positionH>
          <wp:positionV relativeFrom="paragraph">
            <wp:posOffset>-635</wp:posOffset>
          </wp:positionV>
          <wp:extent cx="1362459" cy="391669"/>
          <wp:effectExtent l="0" t="0" r="0" b="8890"/>
          <wp:wrapNone/>
          <wp:docPr id="50339853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98530" name="Picture 1" descr="A blue text on a black background&#10;&#10;Description automatically generated"/>
                  <pic:cNvPicPr/>
                </pic:nvPicPr>
                <pic:blipFill>
                  <a:blip r:embed="rId1"/>
                  <a:stretch>
                    <a:fillRect/>
                  </a:stretch>
                </pic:blipFill>
                <pic:spPr>
                  <a:xfrm>
                    <a:off x="0" y="0"/>
                    <a:ext cx="1362459" cy="3916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48"/>
    <w:multiLevelType w:val="multilevel"/>
    <w:tmpl w:val="1AF2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B71A7"/>
    <w:multiLevelType w:val="multilevel"/>
    <w:tmpl w:val="AFB0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83F20"/>
    <w:multiLevelType w:val="multilevel"/>
    <w:tmpl w:val="C79A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F1EF1"/>
    <w:multiLevelType w:val="multilevel"/>
    <w:tmpl w:val="61F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B7C48"/>
    <w:multiLevelType w:val="multilevel"/>
    <w:tmpl w:val="5D64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30142"/>
    <w:multiLevelType w:val="multilevel"/>
    <w:tmpl w:val="BF2E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E49CE"/>
    <w:multiLevelType w:val="multilevel"/>
    <w:tmpl w:val="6BA4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82B4F"/>
    <w:multiLevelType w:val="multilevel"/>
    <w:tmpl w:val="6306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208E9"/>
    <w:multiLevelType w:val="multilevel"/>
    <w:tmpl w:val="279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F11DF"/>
    <w:multiLevelType w:val="multilevel"/>
    <w:tmpl w:val="841A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202AE"/>
    <w:multiLevelType w:val="multilevel"/>
    <w:tmpl w:val="DBB4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558169">
    <w:abstractNumId w:val="5"/>
  </w:num>
  <w:num w:numId="2" w16cid:durableId="1164315938">
    <w:abstractNumId w:val="8"/>
  </w:num>
  <w:num w:numId="3" w16cid:durableId="1873492386">
    <w:abstractNumId w:val="10"/>
  </w:num>
  <w:num w:numId="4" w16cid:durableId="1335843431">
    <w:abstractNumId w:val="4"/>
  </w:num>
  <w:num w:numId="5" w16cid:durableId="1427462867">
    <w:abstractNumId w:val="7"/>
  </w:num>
  <w:num w:numId="6" w16cid:durableId="212810908">
    <w:abstractNumId w:val="0"/>
  </w:num>
  <w:num w:numId="7" w16cid:durableId="979312697">
    <w:abstractNumId w:val="9"/>
  </w:num>
  <w:num w:numId="8" w16cid:durableId="1761297519">
    <w:abstractNumId w:val="6"/>
  </w:num>
  <w:num w:numId="9" w16cid:durableId="1998917455">
    <w:abstractNumId w:val="2"/>
  </w:num>
  <w:num w:numId="10" w16cid:durableId="1352872347">
    <w:abstractNumId w:val="1"/>
  </w:num>
  <w:num w:numId="11" w16cid:durableId="448817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EB"/>
    <w:rsid w:val="000F5828"/>
    <w:rsid w:val="002A2540"/>
    <w:rsid w:val="00427F3A"/>
    <w:rsid w:val="004C6066"/>
    <w:rsid w:val="006077CF"/>
    <w:rsid w:val="006B4879"/>
    <w:rsid w:val="00891472"/>
    <w:rsid w:val="00997F1C"/>
    <w:rsid w:val="00A94503"/>
    <w:rsid w:val="00B22D1C"/>
    <w:rsid w:val="00CA214A"/>
    <w:rsid w:val="00CD5836"/>
    <w:rsid w:val="00DD22A7"/>
    <w:rsid w:val="00E476EB"/>
    <w:rsid w:val="00E6397D"/>
    <w:rsid w:val="00EA0DB7"/>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7FD7"/>
  <w15:chartTrackingRefBased/>
  <w15:docId w15:val="{E92BF859-1F57-40C6-B25B-81C01BC2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6EB"/>
    <w:rPr>
      <w:rFonts w:eastAsiaTheme="majorEastAsia" w:cstheme="majorBidi"/>
      <w:color w:val="272727" w:themeColor="text1" w:themeTint="D8"/>
    </w:rPr>
  </w:style>
  <w:style w:type="paragraph" w:styleId="Title">
    <w:name w:val="Title"/>
    <w:basedOn w:val="Normal"/>
    <w:next w:val="Normal"/>
    <w:link w:val="TitleChar"/>
    <w:uiPriority w:val="10"/>
    <w:qFormat/>
    <w:rsid w:val="00E47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6EB"/>
    <w:pPr>
      <w:spacing w:before="160"/>
      <w:jc w:val="center"/>
    </w:pPr>
    <w:rPr>
      <w:i/>
      <w:iCs/>
      <w:color w:val="404040" w:themeColor="text1" w:themeTint="BF"/>
    </w:rPr>
  </w:style>
  <w:style w:type="character" w:customStyle="1" w:styleId="QuoteChar">
    <w:name w:val="Quote Char"/>
    <w:basedOn w:val="DefaultParagraphFont"/>
    <w:link w:val="Quote"/>
    <w:uiPriority w:val="29"/>
    <w:rsid w:val="00E476EB"/>
    <w:rPr>
      <w:i/>
      <w:iCs/>
      <w:color w:val="404040" w:themeColor="text1" w:themeTint="BF"/>
    </w:rPr>
  </w:style>
  <w:style w:type="paragraph" w:styleId="ListParagraph">
    <w:name w:val="List Paragraph"/>
    <w:basedOn w:val="Normal"/>
    <w:uiPriority w:val="34"/>
    <w:qFormat/>
    <w:rsid w:val="00E476EB"/>
    <w:pPr>
      <w:ind w:left="720"/>
      <w:contextualSpacing/>
    </w:pPr>
  </w:style>
  <w:style w:type="character" w:styleId="IntenseEmphasis">
    <w:name w:val="Intense Emphasis"/>
    <w:basedOn w:val="DefaultParagraphFont"/>
    <w:uiPriority w:val="21"/>
    <w:qFormat/>
    <w:rsid w:val="00E476EB"/>
    <w:rPr>
      <w:i/>
      <w:iCs/>
      <w:color w:val="0F4761" w:themeColor="accent1" w:themeShade="BF"/>
    </w:rPr>
  </w:style>
  <w:style w:type="paragraph" w:styleId="IntenseQuote">
    <w:name w:val="Intense Quote"/>
    <w:basedOn w:val="Normal"/>
    <w:next w:val="Normal"/>
    <w:link w:val="IntenseQuoteChar"/>
    <w:uiPriority w:val="30"/>
    <w:qFormat/>
    <w:rsid w:val="00E47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6EB"/>
    <w:rPr>
      <w:i/>
      <w:iCs/>
      <w:color w:val="0F4761" w:themeColor="accent1" w:themeShade="BF"/>
    </w:rPr>
  </w:style>
  <w:style w:type="character" w:styleId="IntenseReference">
    <w:name w:val="Intense Reference"/>
    <w:basedOn w:val="DefaultParagraphFont"/>
    <w:uiPriority w:val="32"/>
    <w:qFormat/>
    <w:rsid w:val="00E476EB"/>
    <w:rPr>
      <w:b/>
      <w:bCs/>
      <w:smallCaps/>
      <w:color w:val="0F4761" w:themeColor="accent1" w:themeShade="BF"/>
      <w:spacing w:val="5"/>
    </w:rPr>
  </w:style>
  <w:style w:type="character" w:styleId="Hyperlink">
    <w:name w:val="Hyperlink"/>
    <w:basedOn w:val="DefaultParagraphFont"/>
    <w:uiPriority w:val="99"/>
    <w:unhideWhenUsed/>
    <w:rsid w:val="00DD22A7"/>
    <w:rPr>
      <w:color w:val="467886" w:themeColor="hyperlink"/>
      <w:u w:val="single"/>
    </w:rPr>
  </w:style>
  <w:style w:type="character" w:styleId="UnresolvedMention">
    <w:name w:val="Unresolved Mention"/>
    <w:basedOn w:val="DefaultParagraphFont"/>
    <w:uiPriority w:val="99"/>
    <w:semiHidden/>
    <w:unhideWhenUsed/>
    <w:rsid w:val="00DD22A7"/>
    <w:rPr>
      <w:color w:val="605E5C"/>
      <w:shd w:val="clear" w:color="auto" w:fill="E1DFDD"/>
    </w:rPr>
  </w:style>
  <w:style w:type="paragraph" w:styleId="Header">
    <w:name w:val="header"/>
    <w:basedOn w:val="Normal"/>
    <w:link w:val="HeaderChar"/>
    <w:uiPriority w:val="99"/>
    <w:unhideWhenUsed/>
    <w:rsid w:val="00427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F3A"/>
  </w:style>
  <w:style w:type="paragraph" w:styleId="Footer">
    <w:name w:val="footer"/>
    <w:basedOn w:val="Normal"/>
    <w:link w:val="FooterChar"/>
    <w:uiPriority w:val="99"/>
    <w:unhideWhenUsed/>
    <w:rsid w:val="00427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910115">
      <w:bodyDiv w:val="1"/>
      <w:marLeft w:val="0"/>
      <w:marRight w:val="0"/>
      <w:marTop w:val="0"/>
      <w:marBottom w:val="0"/>
      <w:divBdr>
        <w:top w:val="none" w:sz="0" w:space="0" w:color="auto"/>
        <w:left w:val="none" w:sz="0" w:space="0" w:color="auto"/>
        <w:bottom w:val="none" w:sz="0" w:space="0" w:color="auto"/>
        <w:right w:val="none" w:sz="0" w:space="0" w:color="auto"/>
      </w:divBdr>
    </w:div>
    <w:div w:id="16389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nfe@britishcounci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f4ea01-8639-4d28-bee1-ec210d74c6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02F8AE25D310489E8198D52C80649B" ma:contentTypeVersion="12" ma:contentTypeDescription="Create a new document." ma:contentTypeScope="" ma:versionID="9f267043d8c586e0834d7a9cffaed165">
  <xsd:schema xmlns:xsd="http://www.w3.org/2001/XMLSchema" xmlns:xs="http://www.w3.org/2001/XMLSchema" xmlns:p="http://schemas.microsoft.com/office/2006/metadata/properties" xmlns:ns2="68f4ea01-8639-4d28-bee1-ec210d74c6c3" targetNamespace="http://schemas.microsoft.com/office/2006/metadata/properties" ma:root="true" ma:fieldsID="1399eaad77d824282fe4851440460be6" ns2:_="">
    <xsd:import namespace="68f4ea01-8639-4d28-bee1-ec210d74c6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4ea01-8639-4d28-bee1-ec210d74c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E775F-9546-4027-99D8-CF99264B4A49}">
  <ds:schemaRefs>
    <ds:schemaRef ds:uri="http://schemas.microsoft.com/office/2006/metadata/properties"/>
    <ds:schemaRef ds:uri="http://schemas.microsoft.com/office/infopath/2007/PartnerControls"/>
    <ds:schemaRef ds:uri="8562ba98-1238-4d63-b1f7-f1df41fc5a1f"/>
    <ds:schemaRef ds:uri="2398c8b8-4f4a-47a0-8225-bac31e053e19"/>
    <ds:schemaRef ds:uri="68f4ea01-8639-4d28-bee1-ec210d74c6c3"/>
  </ds:schemaRefs>
</ds:datastoreItem>
</file>

<file path=customXml/itemProps2.xml><?xml version="1.0" encoding="utf-8"?>
<ds:datastoreItem xmlns:ds="http://schemas.openxmlformats.org/officeDocument/2006/customXml" ds:itemID="{945537CF-7882-4B99-8DF8-2CA194345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4ea01-8639-4d28-bee1-ec210d74c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CAD0-9C6C-4BED-8B26-3EFA6CF4B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Stepp, Arsen (Bangladesh)</dc:creator>
  <cp:keywords/>
  <dc:description/>
  <cp:lastModifiedBy>Rabbany, Siamul(Bangladesh)</cp:lastModifiedBy>
  <cp:revision>14</cp:revision>
  <dcterms:created xsi:type="dcterms:W3CDTF">2025-12-18T03:35:00Z</dcterms:created>
  <dcterms:modified xsi:type="dcterms:W3CDTF">2025-12-21T11:29:00Z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0x010100C002F8AE25D310489E8198D52C80649B</vt:lpwstr>
  </property>
</Properties>
</file>